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1cbac9fc64fc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9798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GORAN KOVAČIĆ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1.390.890,68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1.431.253,29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1.383.878,57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1.497.998,82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66.745,53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6.732,45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19.402,28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6.732,45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19.402,28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86.147,81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manjak prihoda i primitaka ogleda se u sljedećem - knjiženo je 13 rashoda za zaposlene, a samo 12 prihoda, u odnosu na godinu prije, za isto razdoblje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1.390.890,68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1.431.253,29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r>
        <w:t xml:space="preserve">Prihodi poslovanja povećani su za 2,9%, zbog tekuće pomoći iz nadležnog ministarstva za za plaću i materijalna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1.225.418,70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1.232.095,90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100,5</w:t>
            </w:r>
          </w:p>
        </w:tc>
      </w:tr>
    </w:tbl>
    <w:p>
      <w:pPr>
        <w:spacing w:before="0" w:after="0"/>
      </w:pPr>
    </w:p>
    <w:p>
      <w:r>
        <w:t xml:space="preserve">Povećanje iskazano u izvještajnom razdoblju u odnosu na godine prije odnosi se na veća isplaćena prava na plaću zaposlenika radi reforme ministarstva o povećanju plaća u državnom i javnom sektoru.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</w:tbl>
    <w:p>
      <w:pPr>
        <w:spacing w:before="0" w:after="0"/>
      </w:pPr>
    </w:p>
    <w:p>
      <w:r>
        <w:t xml:space="preserve">Povećanje zbog sudjelovanja u programima koji se odnose na tjelesnu i zdravstvenu kulturu, te uplata školskog sportskog saveza brodsko posavske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161.859,00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195.627,16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Povećanje iskazano u izvještajnom razdoblju odnosi se na povećanje troškova plaća djelatnica produženog boravka, te povećanje broja djelatnica u programu Pomoćnici u nastavi (sa 2 na 4 djelatnice) u školskoj godini 25/26, a samim time i veći rashodi za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1.383.878,57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1.497.998,82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Povećanje se najviše odnosi na povećanje plaća djelatnika zbog reforme ministarstva, koja je bila u dva navrata.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198.452,40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192.796,57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97,2</w:t>
            </w:r>
          </w:p>
        </w:tc>
      </w:tr>
    </w:tbl>
    <w:p>
      <w:pPr>
        <w:spacing w:before="0" w:after="0"/>
      </w:pPr>
    </w:p>
    <w:p>
      <w:r>
        <w:t xml:space="preserve">Smanjenje rashoda u odnosu na prijašnje razdoblje, najviše zbog gubitka područne škole Donja Vrba u školskoj godini 25/26, a samim time i financiranja prijevoza učenika.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4.841,14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5.935,26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Povećanje se najvećim dijelom odnosi na ugradnju video nadzora u objektu.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r>
        <w:t xml:space="preserve">Povećanje zbog povećanog broja djelatnika koji su išli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r>
        <w:t xml:space="preserve">Povećanje plaće za drugi dohodak učitelju islamskog vjeronauka.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13.322,23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475,3</w:t>
            </w:r>
          </w:p>
        </w:tc>
      </w:tr>
    </w:tbl>
    <w:p>
      <w:pPr>
        <w:spacing w:before="0" w:after="0"/>
      </w:pPr>
    </w:p>
    <w:p>
      <w:r>
        <w:t xml:space="preserve">Povećanje zbog kupovine namještaja (stolovi, klupe, ploče) te računala, i računalne opreme za potrebe učenika i profesora.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Ugradnja klimatizacijskog sustava u prostore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5.423,80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287,2</w:t>
            </w:r>
          </w:p>
        </w:tc>
      </w:tr>
    </w:tbl>
    <w:p>
      <w:pPr>
        <w:spacing w:before="0" w:after="0"/>
      </w:pPr>
    </w:p>
    <w:p>
      <w:r>
        <w:t xml:space="preserve">Povećanje rashoda za knjige od sredstava ministarstva.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Povećanje zbog povećanog iznosa naknade za invalide.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1.531.457,35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1.519.829,92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Vrijednost imovine je manja u odnosu na godinu prije zbog amortizirane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28.871,43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129.677,34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449,2</w:t>
            </w:r>
          </w:p>
        </w:tc>
      </w:tr>
    </w:tbl>
    <w:p>
      <w:pPr>
        <w:spacing w:before="0" w:after="0"/>
      </w:pPr>
    </w:p>
    <w:p>
      <w:r>
        <w:t xml:space="preserve">Potraživanja za prihode se odnose na nenaplaćena potraživanja koja su u procesu naplate.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97.383,06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šifra odnosi se na nedospjelu naplatu prihoda koji se odnose na plaću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111.804,58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113.220,40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</w:tbl>
    <w:p>
      <w:pPr>
        <w:spacing w:before="0" w:after="0"/>
      </w:pPr>
    </w:p>
    <w:p>
      <w:r>
        <w:t xml:space="preserve">Obveze za rashod poslovanja biti će podmirene 2026., a koje su knjižene u 2025.</w:t>
      </w:r>
    </w:p>
    <w:p>
      <w:r>
        <w:t xml:space="preserve">Najveći dio se odnosi na obveze za zaposlene.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1.314.875,81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1.441.110,70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Što se tiče ovog dijela, iskazani su svi rashodi razreda 3 i 4 ostvareni u 2025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75.735,21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76.290,40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100,7</w:t>
            </w:r>
          </w:p>
        </w:tc>
      </w:tr>
    </w:tbl>
    <w:p>
      <w:pPr>
        <w:spacing w:before="0" w:after="0"/>
      </w:pPr>
    </w:p>
    <w:p>
      <w:r>
        <w:t xml:space="preserve">Dodatne usluge u obrazovanju povećane su i odnose se na prehranu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Ovaj segment obrasca, šifra P002 bilježi povećanje u iznosu od 1081,25 eura, te se odnosi na donaciju knjiga.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127.407,47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prenesene u 2026. godinu za plaću za 12. mjesec i nepodmirene režijske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Ivan Goran Kovačić nema dospjelih obveza na dan 31.12.2025.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d7896f2e2450e" /></Relationships>
</file>